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358C588A"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E173F1">
        <w:rPr>
          <w:b/>
          <w:noProof/>
          <w:sz w:val="24"/>
          <w:lang w:val="en-US"/>
        </w:rPr>
        <w:t>9</w:t>
      </w:r>
      <w:r w:rsidR="00990A5E">
        <w:rPr>
          <w:b/>
          <w:noProof/>
          <w:sz w:val="24"/>
          <w:lang w:val="en-US"/>
        </w:rPr>
        <w:t>bis</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93746">
        <w:rPr>
          <w:b/>
          <w:i/>
          <w:sz w:val="32"/>
          <w:lang w:val="sv-SE" w:eastAsia="ko-KR"/>
        </w:rPr>
        <w:t>R2-</w:t>
      </w:r>
      <w:r w:rsidR="00EF298D" w:rsidRPr="00593746">
        <w:rPr>
          <w:b/>
          <w:i/>
          <w:sz w:val="32"/>
          <w:lang w:val="sv-SE" w:eastAsia="ko-KR"/>
        </w:rPr>
        <w:t>22</w:t>
      </w:r>
      <w:r w:rsidR="00593746" w:rsidRPr="00593746">
        <w:rPr>
          <w:b/>
          <w:i/>
          <w:sz w:val="32"/>
          <w:lang w:val="sv-SE" w:eastAsia="ko-KR"/>
        </w:rPr>
        <w:t>10590</w:t>
      </w:r>
      <w:bookmarkStart w:id="0" w:name="_GoBack"/>
      <w:bookmarkEnd w:id="0"/>
    </w:p>
    <w:p w14:paraId="4EE56CD2" w14:textId="11AD2895" w:rsidR="004B73C2" w:rsidRPr="003744D5" w:rsidRDefault="004B73C2" w:rsidP="004B73C2">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 xml:space="preserve">Electronic meeting, </w:t>
      </w:r>
      <w:r w:rsidR="00E173F1">
        <w:rPr>
          <w:rFonts w:eastAsiaTheme="minorEastAsia"/>
          <w:b/>
          <w:sz w:val="24"/>
          <w:lang w:val="sv-SE" w:eastAsia="ko-KR"/>
        </w:rPr>
        <w:t>1</w:t>
      </w:r>
      <w:r w:rsidR="00990A5E">
        <w:rPr>
          <w:rFonts w:eastAsiaTheme="minorEastAsia"/>
          <w:b/>
          <w:sz w:val="24"/>
          <w:lang w:val="sv-SE" w:eastAsia="ko-KR"/>
        </w:rPr>
        <w:t>0</w:t>
      </w:r>
      <w:r w:rsidR="00393C75">
        <w:rPr>
          <w:rFonts w:eastAsiaTheme="minorEastAsia"/>
          <w:b/>
          <w:sz w:val="24"/>
          <w:lang w:val="sv-SE" w:eastAsia="ko-KR"/>
        </w:rPr>
        <w:t xml:space="preserve"> </w:t>
      </w:r>
      <w:r w:rsidRPr="003744D5">
        <w:rPr>
          <w:rFonts w:eastAsiaTheme="minorEastAsia"/>
          <w:b/>
          <w:sz w:val="24"/>
          <w:lang w:val="sv-SE" w:eastAsia="ko-KR"/>
        </w:rPr>
        <w:t xml:space="preserve">– </w:t>
      </w:r>
      <w:r w:rsidR="00990A5E">
        <w:rPr>
          <w:rFonts w:eastAsiaTheme="minorEastAsia"/>
          <w:b/>
          <w:sz w:val="24"/>
          <w:lang w:val="sv-SE" w:eastAsia="ko-KR"/>
        </w:rPr>
        <w:t>19</w:t>
      </w:r>
      <w:r w:rsidRPr="003744D5">
        <w:rPr>
          <w:rFonts w:eastAsiaTheme="minorEastAsia"/>
          <w:b/>
          <w:sz w:val="24"/>
          <w:lang w:val="sv-SE" w:eastAsia="ko-KR"/>
        </w:rPr>
        <w:t xml:space="preserve"> </w:t>
      </w:r>
      <w:r w:rsidR="00990A5E">
        <w:rPr>
          <w:rFonts w:eastAsiaTheme="minorEastAsia"/>
          <w:b/>
          <w:sz w:val="24"/>
          <w:lang w:val="sv-SE" w:eastAsia="ko-KR"/>
        </w:rPr>
        <w:t>Oct</w:t>
      </w:r>
      <w:r w:rsidRPr="003744D5">
        <w:rPr>
          <w:rFonts w:eastAsiaTheme="minorEastAsia"/>
          <w:b/>
          <w:sz w:val="24"/>
          <w:lang w:val="sv-SE" w:eastAsia="ko-KR"/>
        </w:rPr>
        <w:t>,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3653E0EE"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990A5E" w:rsidRPr="001A2D71">
        <w:rPr>
          <w:rFonts w:cs="Arial"/>
          <w:noProof/>
          <w:sz w:val="24"/>
          <w:szCs w:val="24"/>
          <w:lang w:val="sv-SE" w:eastAsia="ko-KR"/>
        </w:rPr>
        <w:t>8.4.2.1</w:t>
      </w:r>
      <w:r w:rsidR="003744D5" w:rsidRPr="001A2D71">
        <w:rPr>
          <w:rFonts w:cs="Arial"/>
          <w:noProof/>
          <w:sz w:val="24"/>
          <w:szCs w:val="24"/>
          <w:lang w:val="sv-SE" w:eastAsia="ko-KR"/>
        </w:rPr>
        <w:t xml:space="preserve"> </w:t>
      </w:r>
      <w:r w:rsidR="00AD59B7" w:rsidRPr="001A2D71">
        <w:rPr>
          <w:rFonts w:cs="Arial"/>
          <w:noProof/>
          <w:sz w:val="24"/>
          <w:szCs w:val="24"/>
          <w:lang w:val="sv-SE" w:eastAsia="ko-KR"/>
        </w:rPr>
        <w:t>(</w:t>
      </w:r>
      <w:r w:rsidR="00990A5E" w:rsidRPr="001A2D71">
        <w:rPr>
          <w:rFonts w:cs="Arial"/>
          <w:noProof/>
          <w:sz w:val="24"/>
          <w:szCs w:val="24"/>
          <w:lang w:val="sv-SE" w:eastAsia="ko-KR"/>
        </w:rPr>
        <w:t>NR</w:t>
      </w:r>
      <w:r w:rsidR="00990A5E" w:rsidRPr="00990A5E">
        <w:rPr>
          <w:rFonts w:cs="Arial"/>
          <w:noProof/>
          <w:sz w:val="24"/>
          <w:szCs w:val="24"/>
          <w:lang w:val="sv-SE" w:eastAsia="ko-KR"/>
        </w:rPr>
        <w:t>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0A02BFC5"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990A5E" w:rsidRPr="00990A5E">
        <w:rPr>
          <w:rFonts w:eastAsia="맑은 고딕" w:cs="Arial"/>
          <w:noProof/>
          <w:sz w:val="24"/>
          <w:szCs w:val="24"/>
          <w:lang w:val="sv-SE" w:eastAsia="ko-KR"/>
        </w:rPr>
        <w:t>Discussion on TA for candidate cell for L1L2 mobility</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5230FE88" w:rsidR="00E1533D" w:rsidRDefault="00E1533D"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751C6E">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RAN</w:t>
      </w:r>
      <w:r w:rsidR="00DF6E3C">
        <w:rPr>
          <w:rFonts w:ascii="Times New Roman" w:eastAsia="맑은 고딕" w:hAnsi="Times New Roman"/>
          <w:sz w:val="22"/>
          <w:szCs w:val="22"/>
          <w:lang w:eastAsia="ko-KR"/>
        </w:rPr>
        <w:t>2</w:t>
      </w:r>
      <w:r>
        <w:rPr>
          <w:rFonts w:ascii="Times New Roman" w:eastAsia="맑은 고딕" w:hAnsi="Times New Roman"/>
          <w:sz w:val="22"/>
          <w:szCs w:val="22"/>
          <w:lang w:eastAsia="ko-KR"/>
        </w:rPr>
        <w:t>#</w:t>
      </w:r>
      <w:r w:rsidR="00DF6E3C">
        <w:rPr>
          <w:rFonts w:ascii="Times New Roman" w:eastAsia="맑은 고딕" w:hAnsi="Times New Roman"/>
          <w:sz w:val="22"/>
          <w:szCs w:val="22"/>
          <w:lang w:eastAsia="ko-KR"/>
        </w:rPr>
        <w:t>119e meeting</w:t>
      </w:r>
      <w:r>
        <w:rPr>
          <w:rFonts w:ascii="Times New Roman" w:eastAsia="맑은 고딕" w:hAnsi="Times New Roman"/>
          <w:sz w:val="22"/>
          <w:szCs w:val="22"/>
          <w:lang w:eastAsia="ko-KR"/>
        </w:rPr>
        <w:t xml:space="preserve">, </w:t>
      </w:r>
      <w:r w:rsidR="00F922F2">
        <w:rPr>
          <w:rFonts w:ascii="Times New Roman" w:eastAsia="맑은 고딕" w:hAnsi="Times New Roman"/>
          <w:sz w:val="22"/>
          <w:szCs w:val="22"/>
          <w:lang w:eastAsia="ko-KR"/>
        </w:rPr>
        <w:t>RAN2</w:t>
      </w:r>
      <w:r w:rsidR="00DF6E3C">
        <w:rPr>
          <w:rFonts w:ascii="Times New Roman" w:eastAsia="맑은 고딕" w:hAnsi="Times New Roman"/>
          <w:sz w:val="22"/>
          <w:szCs w:val="22"/>
          <w:lang w:eastAsia="ko-KR"/>
        </w:rPr>
        <w:t xml:space="preserve"> made </w:t>
      </w:r>
      <w:r w:rsidR="00F922F2">
        <w:rPr>
          <w:rFonts w:ascii="Times New Roman" w:eastAsia="맑은 고딕" w:hAnsi="Times New Roman"/>
          <w:sz w:val="22"/>
          <w:szCs w:val="22"/>
          <w:lang w:eastAsia="ko-KR"/>
        </w:rPr>
        <w:t xml:space="preserve">some agreements </w:t>
      </w:r>
      <w:r w:rsidR="00DF6E3C">
        <w:rPr>
          <w:rFonts w:ascii="Times New Roman" w:eastAsia="맑은 고딕" w:hAnsi="Times New Roman"/>
          <w:sz w:val="22"/>
          <w:szCs w:val="22"/>
          <w:lang w:eastAsia="ko-KR"/>
        </w:rPr>
        <w:t xml:space="preserve">for L1/L2 based inter-cell mobility. </w:t>
      </w:r>
      <w:r w:rsidR="00F922F2">
        <w:rPr>
          <w:rFonts w:ascii="Times New Roman" w:eastAsia="맑은 고딕" w:hAnsi="Times New Roman"/>
          <w:sz w:val="22"/>
          <w:szCs w:val="22"/>
          <w:lang w:eastAsia="ko-KR"/>
        </w:rPr>
        <w:t>W</w:t>
      </w:r>
      <w:r w:rsidR="00751C6E">
        <w:rPr>
          <w:rFonts w:ascii="Times New Roman" w:eastAsia="맑은 고딕" w:hAnsi="Times New Roman"/>
          <w:sz w:val="22"/>
          <w:szCs w:val="22"/>
          <w:lang w:eastAsia="ko-KR"/>
        </w:rPr>
        <w:t>e further discuss TA for candidate cell to reduce HO interruption time</w:t>
      </w:r>
      <w:r w:rsidR="00F922F2">
        <w:rPr>
          <w:rFonts w:ascii="Times New Roman" w:eastAsia="맑은 고딕" w:hAnsi="Times New Roman"/>
          <w:sz w:val="22"/>
          <w:szCs w:val="22"/>
          <w:lang w:eastAsia="ko-KR"/>
        </w:rPr>
        <w:t xml:space="preserve"> based on RAN2 agreements so far</w:t>
      </w:r>
      <w:r w:rsidR="00751C6E">
        <w:rPr>
          <w:rFonts w:ascii="Times New Roman" w:eastAsia="맑은 고딕" w:hAnsi="Times New Roman"/>
          <w:sz w:val="22"/>
          <w:szCs w:val="22"/>
          <w:lang w:eastAsia="ko-KR"/>
        </w:rPr>
        <w:t>.</w:t>
      </w:r>
    </w:p>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271B138F" w14:textId="77777777" w:rsidR="00751C6E" w:rsidRDefault="00751C6E" w:rsidP="00751C6E">
      <w:pPr>
        <w:jc w:val="left"/>
        <w:rPr>
          <w:rFonts w:ascii="Times New Roman" w:eastAsia="맑은 고딕" w:hAnsi="Times New Roman"/>
          <w:sz w:val="22"/>
          <w:lang w:eastAsia="ko-KR"/>
        </w:rPr>
      </w:pPr>
      <w:r>
        <w:rPr>
          <w:rFonts w:ascii="Times New Roman" w:eastAsia="맑은 고딕" w:hAnsi="Times New Roman"/>
          <w:sz w:val="22"/>
          <w:lang w:eastAsia="ko-KR"/>
        </w:rPr>
        <w:t>In L1/L2 mobility, it is required that a UE maintains a TA for a candidate cell before handover in order to reduce the handover latency. More specifically, the UE should obtain the TA for the candidate cell before receiving the L1/L2 handover command from a source cell. Then, if the UE receives the L1/L2 handover command from the source cell, the UE performs the handover to the candidate cell without performing the RA procedure to the candidate cell.</w:t>
      </w:r>
    </w:p>
    <w:p w14:paraId="54CA11DD" w14:textId="77777777" w:rsidR="00751C6E" w:rsidRDefault="00751C6E" w:rsidP="00751C6E">
      <w:pPr>
        <w:jc w:val="left"/>
        <w:rPr>
          <w:rFonts w:ascii="Times New Roman" w:eastAsia="맑은 고딕" w:hAnsi="Times New Roman"/>
          <w:sz w:val="22"/>
          <w:lang w:eastAsia="ko-KR"/>
        </w:rPr>
      </w:pPr>
      <w:r>
        <w:rPr>
          <w:rFonts w:ascii="Times New Roman" w:eastAsia="맑은 고딕" w:hAnsi="Times New Roman"/>
          <w:sz w:val="22"/>
          <w:lang w:eastAsia="ko-KR"/>
        </w:rPr>
        <w:t>In order not to perform the RA procedure to the candidate cell after receiving the L1/L2 handover command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TA for the candidate cell should be obtained before receiving the L1/L2 handover command. We think there are three options as shown below.</w:t>
      </w:r>
    </w:p>
    <w:p w14:paraId="671C3EF9" w14:textId="361A37FD"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After candidate cell information is received, the UE performs a RA procedure to each candidate cell. When the UE receives the candidate cell information, the UE triggers a RA procedure on each candidate cell to obtain the TA.</w:t>
      </w:r>
    </w:p>
    <w:p w14:paraId="41A8C1AE"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Candidate cell information also includes TA information for each candidate cell. The UE </w:t>
      </w:r>
      <w:proofErr w:type="gramStart"/>
      <w:r>
        <w:rPr>
          <w:rFonts w:ascii="Times New Roman" w:eastAsia="맑은 고딕" w:hAnsi="Times New Roman"/>
          <w:sz w:val="22"/>
          <w:lang w:eastAsia="ko-KR"/>
        </w:rPr>
        <w:t>applies</w:t>
      </w:r>
      <w:proofErr w:type="gramEnd"/>
      <w:r>
        <w:rPr>
          <w:rFonts w:ascii="Times New Roman" w:eastAsia="맑은 고딕" w:hAnsi="Times New Roman"/>
          <w:sz w:val="22"/>
          <w:lang w:eastAsia="ko-KR"/>
        </w:rPr>
        <w:t xml:space="preserve"> a received TA for each candidate cell.</w:t>
      </w:r>
    </w:p>
    <w:p w14:paraId="021B0748"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14:paraId="61F30B2E" w14:textId="42D6CD1D" w:rsidR="00751C6E" w:rsidRDefault="00751C6E" w:rsidP="00751C6E">
      <w:pPr>
        <w:jc w:val="left"/>
        <w:rPr>
          <w:rFonts w:ascii="Times New Roman" w:eastAsia="맑은 고딕" w:hAnsi="Times New Roman"/>
          <w:sz w:val="22"/>
          <w:lang w:eastAsia="ko-KR"/>
        </w:rPr>
      </w:pPr>
      <w:r>
        <w:rPr>
          <w:rFonts w:ascii="Times New Roman" w:eastAsia="맑은 고딕" w:hAnsi="Times New Roman" w:hint="eastAsia"/>
          <w:sz w:val="22"/>
          <w:lang w:eastAsia="ko-KR"/>
        </w:rPr>
        <w:t>There are pros and cons for each option</w:t>
      </w:r>
      <w:r w:rsidR="00116C86">
        <w:rPr>
          <w:rFonts w:ascii="Times New Roman" w:eastAsia="맑은 고딕" w:hAnsi="Times New Roman"/>
          <w:sz w:val="22"/>
          <w:lang w:eastAsia="ko-KR"/>
        </w:rPr>
        <w:t xml:space="preserve"> from a general perspective</w:t>
      </w:r>
      <w:r>
        <w:rPr>
          <w:rFonts w:ascii="Times New Roman" w:eastAsia="맑은 고딕" w:hAnsi="Times New Roman" w:hint="eastAsia"/>
          <w:sz w:val="22"/>
          <w:lang w:eastAsia="ko-KR"/>
        </w:rPr>
        <w:t>.</w:t>
      </w:r>
    </w:p>
    <w:p w14:paraId="4400BC21"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p>
    <w:p w14:paraId="6B3E155A"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Pros: The network does not need to know the TA for the candidate cell. The UE can reuse legacy procedure, i.e. RA procedure, to obtain the TA. </w:t>
      </w:r>
    </w:p>
    <w:p w14:paraId="47C615F4"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If multiple candidate cells are configured, the UE should perform RA procedure multiple times. In addition, if TAT for candidate cell expires, the UE should perform RA procedure again for the candidate cell.</w:t>
      </w:r>
    </w:p>
    <w:p w14:paraId="15452003"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p>
    <w:p w14:paraId="17E9DBEC"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Pros: No need to perform RA procedure to candidate cells.</w:t>
      </w:r>
    </w:p>
    <w:p w14:paraId="01A6B57E"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The network has to know the TA for the candidate cell. Signalling overhead is increased because candidate cell information also includes TA information for each candidate cell. In addition, the network has to send candidate cell information again before TAT for candidate cell expires.</w:t>
      </w:r>
    </w:p>
    <w:p w14:paraId="738D648F" w14:textId="77777777" w:rsidR="00751C6E" w:rsidRDefault="00751C6E" w:rsidP="00751C6E">
      <w:pPr>
        <w:pStyle w:val="a5"/>
        <w:numPr>
          <w:ilvl w:val="0"/>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Option 3. </w:t>
      </w:r>
    </w:p>
    <w:p w14:paraId="1257AE3A"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Pros: The UE maintains only a TA for a candidate cell to which the network wants to move the UE. The TAC MAC CE can be used as L1/L2 handover command.</w:t>
      </w:r>
    </w:p>
    <w:p w14:paraId="48C391DB" w14:textId="77777777" w:rsidR="00751C6E" w:rsidRDefault="00751C6E" w:rsidP="00751C6E">
      <w:pPr>
        <w:pStyle w:val="a5"/>
        <w:numPr>
          <w:ilvl w:val="1"/>
          <w:numId w:val="3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The network has to know the TA for the candidate cell. A new TAC MAC CE may need to be introduced to indicate the TA for a target candidate cell.</w:t>
      </w:r>
    </w:p>
    <w:p w14:paraId="4587AB4D" w14:textId="77777777" w:rsidR="00116C86" w:rsidRDefault="00116C86" w:rsidP="00751C6E">
      <w:pPr>
        <w:jc w:val="left"/>
        <w:rPr>
          <w:rFonts w:ascii="Times New Roman" w:eastAsia="맑은 고딕" w:hAnsi="Times New Roman"/>
          <w:sz w:val="22"/>
          <w:lang w:eastAsia="ko-KR"/>
        </w:rPr>
      </w:pPr>
    </w:p>
    <w:p w14:paraId="5FDE91B5" w14:textId="65CB8BE9" w:rsidR="004163EF" w:rsidRDefault="004163EF" w:rsidP="00443EBF">
      <w:pPr>
        <w:jc w:val="left"/>
        <w:rPr>
          <w:rFonts w:ascii="Times New Roman" w:eastAsia="맑은 고딕" w:hAnsi="Times New Roman"/>
          <w:sz w:val="22"/>
          <w:lang w:eastAsia="ko-KR"/>
        </w:rPr>
      </w:pPr>
      <w:r>
        <w:rPr>
          <w:rFonts w:ascii="Times New Roman" w:eastAsia="맑은 고딕" w:hAnsi="Times New Roman"/>
          <w:sz w:val="22"/>
          <w:lang w:eastAsia="ko-KR"/>
        </w:rPr>
        <w:t>On top of pros and cons</w:t>
      </w:r>
      <w:r w:rsidRPr="004163EF">
        <w:rPr>
          <w:rFonts w:ascii="Times New Roman" w:eastAsia="맑은 고딕" w:hAnsi="Times New Roman"/>
          <w:sz w:val="22"/>
          <w:lang w:eastAsia="ko-KR"/>
        </w:rPr>
        <w:t xml:space="preserve"> </w:t>
      </w:r>
      <w:r>
        <w:rPr>
          <w:rFonts w:ascii="Times New Roman" w:eastAsia="맑은 고딕" w:hAnsi="Times New Roman"/>
          <w:sz w:val="22"/>
          <w:lang w:eastAsia="ko-KR"/>
        </w:rPr>
        <w:t>above, a</w:t>
      </w:r>
      <w:r w:rsidR="00443EBF">
        <w:rPr>
          <w:rFonts w:ascii="Times New Roman" w:eastAsia="맑은 고딕" w:hAnsi="Times New Roman"/>
          <w:sz w:val="22"/>
          <w:lang w:eastAsia="ko-KR"/>
        </w:rPr>
        <w:t xml:space="preserve">s RAN2 confirm </w:t>
      </w:r>
      <w:r w:rsidR="00443EBF" w:rsidRPr="00751C6E">
        <w:rPr>
          <w:rFonts w:ascii="Times New Roman" w:eastAsia="맑은 고딕" w:hAnsi="Times New Roman"/>
          <w:sz w:val="22"/>
          <w:lang w:eastAsia="ko-KR"/>
        </w:rPr>
        <w:t xml:space="preserve">to </w:t>
      </w:r>
      <w:r w:rsidR="00443EBF">
        <w:rPr>
          <w:rFonts w:ascii="Times New Roman" w:eastAsia="맑은 고딕" w:hAnsi="Times New Roman"/>
          <w:sz w:val="22"/>
          <w:lang w:eastAsia="ko-KR"/>
        </w:rPr>
        <w:t>s</w:t>
      </w:r>
      <w:r w:rsidR="00443EBF" w:rsidRPr="00751C6E">
        <w:rPr>
          <w:rFonts w:ascii="Times New Roman" w:eastAsia="맑은 고딕" w:hAnsi="Times New Roman"/>
          <w:sz w:val="22"/>
          <w:lang w:eastAsia="ko-KR"/>
        </w:rPr>
        <w:t>upport L1/L2-based inter-cell mobility for inter-DU scenario</w:t>
      </w:r>
      <w:r w:rsidR="00443EBF">
        <w:rPr>
          <w:rFonts w:ascii="Times New Roman" w:eastAsia="맑은 고딕" w:hAnsi="Times New Roman"/>
          <w:sz w:val="22"/>
          <w:lang w:eastAsia="ko-KR"/>
        </w:rPr>
        <w:t xml:space="preserve"> in the last meeting as shown below agreements, </w:t>
      </w:r>
      <w:r>
        <w:rPr>
          <w:rFonts w:ascii="Times New Roman" w:eastAsia="맑은 고딕" w:hAnsi="Times New Roman"/>
          <w:sz w:val="22"/>
          <w:lang w:eastAsia="ko-KR"/>
        </w:rPr>
        <w:t>we need to check which option</w:t>
      </w:r>
      <w:r w:rsidR="001E255A">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1E255A">
        <w:rPr>
          <w:rFonts w:ascii="Times New Roman" w:eastAsia="맑은 고딕" w:hAnsi="Times New Roman"/>
          <w:sz w:val="22"/>
          <w:lang w:eastAsia="ko-KR"/>
        </w:rPr>
        <w:t>are</w:t>
      </w:r>
      <w:r>
        <w:rPr>
          <w:rFonts w:ascii="Times New Roman" w:eastAsia="맑은 고딕" w:hAnsi="Times New Roman"/>
          <w:sz w:val="22"/>
          <w:lang w:eastAsia="ko-KR"/>
        </w:rPr>
        <w:t xml:space="preserve"> proper for both </w:t>
      </w:r>
      <w:r w:rsidRPr="004163EF">
        <w:rPr>
          <w:rFonts w:ascii="Times New Roman" w:eastAsia="맑은 고딕" w:hAnsi="Times New Roman"/>
          <w:sz w:val="22"/>
          <w:lang w:eastAsia="ko-KR"/>
        </w:rPr>
        <w:t>int</w:t>
      </w:r>
      <w:r>
        <w:rPr>
          <w:rFonts w:ascii="Times New Roman" w:eastAsia="맑은 고딕" w:hAnsi="Times New Roman"/>
          <w:sz w:val="22"/>
          <w:lang w:eastAsia="ko-KR"/>
        </w:rPr>
        <w:t>ra</w:t>
      </w:r>
      <w:r w:rsidRPr="004163EF">
        <w:rPr>
          <w:rFonts w:ascii="Times New Roman" w:eastAsia="맑은 고딕" w:hAnsi="Times New Roman"/>
          <w:sz w:val="22"/>
          <w:lang w:eastAsia="ko-KR"/>
        </w:rPr>
        <w:t xml:space="preserve">-DU </w:t>
      </w:r>
      <w:r>
        <w:rPr>
          <w:rFonts w:ascii="Times New Roman" w:eastAsia="맑은 고딕" w:hAnsi="Times New Roman"/>
          <w:sz w:val="22"/>
          <w:lang w:eastAsia="ko-KR"/>
        </w:rPr>
        <w:t xml:space="preserve">and </w:t>
      </w:r>
      <w:r w:rsidRPr="004163EF">
        <w:rPr>
          <w:rFonts w:ascii="Times New Roman" w:eastAsia="맑은 고딕" w:hAnsi="Times New Roman"/>
          <w:sz w:val="22"/>
          <w:lang w:eastAsia="ko-KR"/>
        </w:rPr>
        <w:t>inter-DU scenario</w:t>
      </w:r>
      <w:r>
        <w:rPr>
          <w:rFonts w:ascii="Times New Roman" w:eastAsia="맑은 고딕" w:hAnsi="Times New Roman"/>
          <w:sz w:val="22"/>
          <w:lang w:eastAsia="ko-KR"/>
        </w:rPr>
        <w:t>s.</w:t>
      </w:r>
    </w:p>
    <w:tbl>
      <w:tblPr>
        <w:tblStyle w:val="a7"/>
        <w:tblW w:w="0" w:type="auto"/>
        <w:tblLook w:val="04A0" w:firstRow="1" w:lastRow="0" w:firstColumn="1" w:lastColumn="0" w:noHBand="0" w:noVBand="1"/>
      </w:tblPr>
      <w:tblGrid>
        <w:gridCol w:w="9629"/>
      </w:tblGrid>
      <w:tr w:rsidR="004163EF" w14:paraId="6611ED89" w14:textId="77777777" w:rsidTr="00984FF5">
        <w:tc>
          <w:tcPr>
            <w:tcW w:w="9629" w:type="dxa"/>
          </w:tcPr>
          <w:p w14:paraId="4480418A" w14:textId="77777777" w:rsidR="004163EF" w:rsidRDefault="004163EF" w:rsidP="00984FF5">
            <w:pPr>
              <w:pStyle w:val="Agreement"/>
              <w:tabs>
                <w:tab w:val="clear" w:pos="1069"/>
                <w:tab w:val="num" w:pos="1305"/>
              </w:tabs>
              <w:ind w:left="1619"/>
            </w:pPr>
            <w:r w:rsidRPr="003F3BBB">
              <w:t>Confirm to Support L1/L2-based inter-cell mobility for inter-DU scenario</w:t>
            </w:r>
            <w:r>
              <w:t xml:space="preserve"> (as well as intra-DU scenarios)</w:t>
            </w:r>
            <w:r w:rsidRPr="003F3BBB">
              <w:t xml:space="preserve">.  </w:t>
            </w:r>
          </w:p>
          <w:p w14:paraId="075F176A" w14:textId="77777777" w:rsidR="004163EF" w:rsidRPr="00DF6E3C" w:rsidRDefault="004163EF" w:rsidP="00984FF5">
            <w:pPr>
              <w:pStyle w:val="Agreement"/>
              <w:tabs>
                <w:tab w:val="clear" w:pos="1069"/>
                <w:tab w:val="num" w:pos="1619"/>
              </w:tabs>
              <w:ind w:left="1619"/>
              <w:rPr>
                <w:rFonts w:ascii="Times New Roman" w:eastAsia="맑은 고딕" w:hAnsi="Times New Roman"/>
                <w:sz w:val="22"/>
                <w:szCs w:val="22"/>
                <w:lang w:eastAsia="ko-KR"/>
              </w:rPr>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tc>
      </w:tr>
    </w:tbl>
    <w:p w14:paraId="5A121A7A" w14:textId="77777777" w:rsidR="004163EF" w:rsidRDefault="004163EF" w:rsidP="00443EBF">
      <w:pPr>
        <w:jc w:val="left"/>
        <w:rPr>
          <w:rFonts w:ascii="Times New Roman" w:eastAsia="맑은 고딕" w:hAnsi="Times New Roman"/>
          <w:sz w:val="22"/>
          <w:lang w:eastAsia="ko-KR"/>
        </w:rPr>
      </w:pPr>
    </w:p>
    <w:p w14:paraId="2CFFE62F" w14:textId="77777777" w:rsidR="007D492F" w:rsidRDefault="00C31CE5" w:rsidP="00443EBF">
      <w:pPr>
        <w:jc w:val="left"/>
        <w:rPr>
          <w:rFonts w:ascii="Times New Roman" w:eastAsia="맑은 고딕" w:hAnsi="Times New Roman"/>
          <w:sz w:val="22"/>
          <w:lang w:eastAsia="ko-KR"/>
        </w:rPr>
      </w:pPr>
      <w:r>
        <w:rPr>
          <w:rFonts w:ascii="Times New Roman" w:eastAsia="맑은 고딕" w:hAnsi="Times New Roman"/>
          <w:sz w:val="22"/>
          <w:lang w:eastAsia="ko-KR"/>
        </w:rPr>
        <w:t>Given that t</w:t>
      </w:r>
      <w:r w:rsidRPr="00C31CE5">
        <w:rPr>
          <w:rFonts w:ascii="Times New Roman" w:eastAsia="맑은 고딕" w:hAnsi="Times New Roman"/>
          <w:sz w:val="22"/>
          <w:lang w:eastAsia="ko-KR"/>
        </w:rPr>
        <w:t>he intra-DU scenario does not require the RLC re-establishment and the MAC reset</w:t>
      </w:r>
      <w:r>
        <w:rPr>
          <w:rFonts w:ascii="Times New Roman" w:eastAsia="맑은 고딕" w:hAnsi="Times New Roman"/>
          <w:sz w:val="22"/>
          <w:lang w:eastAsia="ko-KR"/>
        </w:rPr>
        <w:t xml:space="preserve">, all options are feasible, but actually the option 1 may not be needed for the intra-DU scenario because all candidate cells belong to </w:t>
      </w:r>
      <w:r w:rsidR="003227C2">
        <w:rPr>
          <w:rFonts w:ascii="Times New Roman" w:eastAsia="맑은 고딕" w:hAnsi="Times New Roman"/>
          <w:sz w:val="22"/>
          <w:lang w:eastAsia="ko-KR"/>
        </w:rPr>
        <w:t>one</w:t>
      </w:r>
      <w:r>
        <w:rPr>
          <w:rFonts w:ascii="Times New Roman" w:eastAsia="맑은 고딕" w:hAnsi="Times New Roman"/>
          <w:sz w:val="22"/>
          <w:lang w:eastAsia="ko-KR"/>
        </w:rPr>
        <w:t xml:space="preserve"> DU which currently serve</w:t>
      </w:r>
      <w:r w:rsidR="003227C2">
        <w:rPr>
          <w:rFonts w:ascii="Times New Roman" w:eastAsia="맑은 고딕" w:hAnsi="Times New Roman"/>
          <w:sz w:val="22"/>
          <w:lang w:eastAsia="ko-KR"/>
        </w:rPr>
        <w:t>s</w:t>
      </w:r>
      <w:r>
        <w:rPr>
          <w:rFonts w:ascii="Times New Roman" w:eastAsia="맑은 고딕" w:hAnsi="Times New Roman"/>
          <w:sz w:val="22"/>
          <w:lang w:eastAsia="ko-KR"/>
        </w:rPr>
        <w:t xml:space="preserve"> the UE </w:t>
      </w:r>
      <w:r w:rsidR="003227C2">
        <w:rPr>
          <w:rFonts w:ascii="Times New Roman" w:eastAsia="맑은 고딕" w:hAnsi="Times New Roman"/>
          <w:sz w:val="22"/>
          <w:lang w:eastAsia="ko-KR"/>
        </w:rPr>
        <w:t xml:space="preserve">and TA for all candidate cells can be achieved without RA procedure. </w:t>
      </w:r>
    </w:p>
    <w:p w14:paraId="1065F3B9" w14:textId="77777777" w:rsidR="007D492F" w:rsidRDefault="007D492F" w:rsidP="007D492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For intra-DU scenario, the option 1 may not be needed and the option 2 and 3 would be sufficient.</w:t>
      </w:r>
    </w:p>
    <w:p w14:paraId="3009690B" w14:textId="77777777" w:rsidR="007D492F" w:rsidRDefault="007D492F" w:rsidP="00443EBF">
      <w:pPr>
        <w:jc w:val="left"/>
        <w:rPr>
          <w:rFonts w:ascii="Times New Roman" w:eastAsia="맑은 고딕" w:hAnsi="Times New Roman"/>
          <w:sz w:val="22"/>
          <w:lang w:eastAsia="ko-KR"/>
        </w:rPr>
      </w:pPr>
    </w:p>
    <w:p w14:paraId="038E912B" w14:textId="5A0AEA9A" w:rsidR="004163EF" w:rsidRDefault="003227C2" w:rsidP="00443EBF">
      <w:pPr>
        <w:jc w:val="left"/>
        <w:rPr>
          <w:rFonts w:ascii="Times New Roman" w:eastAsia="맑은 고딕" w:hAnsi="Times New Roman"/>
          <w:sz w:val="22"/>
          <w:lang w:eastAsia="ko-KR"/>
        </w:rPr>
      </w:pPr>
      <w:r>
        <w:rPr>
          <w:rFonts w:ascii="Times New Roman" w:eastAsia="맑은 고딕" w:hAnsi="Times New Roman"/>
          <w:sz w:val="22"/>
          <w:lang w:eastAsia="ko-KR"/>
        </w:rPr>
        <w:t>On the other hand, t</w:t>
      </w:r>
      <w:r w:rsidRPr="00C31CE5">
        <w:rPr>
          <w:rFonts w:ascii="Times New Roman" w:eastAsia="맑은 고딕" w:hAnsi="Times New Roman"/>
          <w:sz w:val="22"/>
          <w:lang w:eastAsia="ko-KR"/>
        </w:rPr>
        <w:t>he int</w:t>
      </w:r>
      <w:r>
        <w:rPr>
          <w:rFonts w:ascii="Times New Roman" w:eastAsia="맑은 고딕" w:hAnsi="Times New Roman"/>
          <w:sz w:val="22"/>
          <w:lang w:eastAsia="ko-KR"/>
        </w:rPr>
        <w:t>er</w:t>
      </w:r>
      <w:r w:rsidRPr="00C31CE5">
        <w:rPr>
          <w:rFonts w:ascii="Times New Roman" w:eastAsia="맑은 고딕" w:hAnsi="Times New Roman"/>
          <w:sz w:val="22"/>
          <w:lang w:eastAsia="ko-KR"/>
        </w:rPr>
        <w:t xml:space="preserve">-DU scenario </w:t>
      </w:r>
      <w:r>
        <w:rPr>
          <w:rFonts w:ascii="Times New Roman" w:eastAsia="맑은 고딕" w:hAnsi="Times New Roman"/>
          <w:sz w:val="22"/>
          <w:lang w:eastAsia="ko-KR"/>
        </w:rPr>
        <w:t>would require the RLC re-establishment and the MAC reset due to the DU change and TA for candidate cells for inter-DU scenario may not be obtained without RA procedure</w:t>
      </w:r>
      <w:r w:rsidR="001E255A">
        <w:rPr>
          <w:rFonts w:ascii="Times New Roman" w:eastAsia="맑은 고딕" w:hAnsi="Times New Roman"/>
          <w:sz w:val="22"/>
          <w:lang w:eastAsia="ko-KR"/>
        </w:rPr>
        <w:t xml:space="preserve">, so </w:t>
      </w:r>
      <w:r w:rsidR="007D492F">
        <w:rPr>
          <w:rFonts w:ascii="Times New Roman" w:eastAsia="맑은 고딕" w:hAnsi="Times New Roman"/>
          <w:sz w:val="22"/>
          <w:lang w:eastAsia="ko-KR"/>
        </w:rPr>
        <w:t>the option 1 is needed</w:t>
      </w:r>
      <w:r w:rsidR="002B343D">
        <w:rPr>
          <w:rFonts w:ascii="Times New Roman" w:eastAsia="맑은 고딕" w:hAnsi="Times New Roman"/>
          <w:sz w:val="22"/>
          <w:lang w:eastAsia="ko-KR"/>
        </w:rPr>
        <w:t>, but</w:t>
      </w:r>
      <w:r w:rsidR="007D492F">
        <w:rPr>
          <w:rFonts w:ascii="Times New Roman" w:eastAsia="맑은 고딕" w:hAnsi="Times New Roman"/>
          <w:sz w:val="22"/>
          <w:lang w:eastAsia="ko-KR"/>
        </w:rPr>
        <w:t xml:space="preserve"> the </w:t>
      </w:r>
      <w:r>
        <w:rPr>
          <w:rFonts w:ascii="Times New Roman" w:eastAsia="맑은 고딕" w:hAnsi="Times New Roman"/>
          <w:sz w:val="22"/>
          <w:lang w:eastAsia="ko-KR"/>
        </w:rPr>
        <w:t>option 2/3 may not be feasible for the inter-DU scenario</w:t>
      </w:r>
      <w:r w:rsidR="001E255A">
        <w:rPr>
          <w:rFonts w:ascii="Times New Roman" w:eastAsia="맑은 고딕" w:hAnsi="Times New Roman"/>
          <w:sz w:val="22"/>
          <w:lang w:eastAsia="ko-KR"/>
        </w:rPr>
        <w:t>.</w:t>
      </w:r>
      <w:r w:rsidR="007D492F">
        <w:rPr>
          <w:rFonts w:ascii="Times New Roman" w:eastAsia="맑은 고딕" w:hAnsi="Times New Roman"/>
          <w:sz w:val="22"/>
          <w:lang w:eastAsia="ko-KR"/>
        </w:rPr>
        <w:t xml:space="preserve"> In addition, since the inter-DU scenario requires </w:t>
      </w:r>
      <w:r w:rsidR="002B343D">
        <w:rPr>
          <w:rFonts w:ascii="Times New Roman" w:eastAsia="맑은 고딕" w:hAnsi="Times New Roman"/>
          <w:sz w:val="22"/>
          <w:lang w:eastAsia="ko-KR"/>
        </w:rPr>
        <w:t xml:space="preserve">a </w:t>
      </w:r>
      <w:r w:rsidR="007D492F">
        <w:rPr>
          <w:rFonts w:ascii="Times New Roman" w:eastAsia="맑은 고딕" w:hAnsi="Times New Roman"/>
          <w:sz w:val="22"/>
          <w:lang w:eastAsia="ko-KR"/>
        </w:rPr>
        <w:t xml:space="preserve">RA procedure to obtain TA for candidate cell on the not serving MAC entity, user plane impact such as </w:t>
      </w:r>
      <w:r w:rsidR="002B343D">
        <w:rPr>
          <w:rFonts w:ascii="Times New Roman" w:eastAsia="맑은 고딕" w:hAnsi="Times New Roman"/>
          <w:sz w:val="22"/>
          <w:lang w:eastAsia="ko-KR"/>
        </w:rPr>
        <w:t xml:space="preserve">CFRA on </w:t>
      </w:r>
      <w:proofErr w:type="spellStart"/>
      <w:r w:rsidR="002B343D">
        <w:rPr>
          <w:rFonts w:ascii="Times New Roman" w:eastAsia="맑은 고딕" w:hAnsi="Times New Roman"/>
          <w:sz w:val="22"/>
          <w:lang w:eastAsia="ko-KR"/>
        </w:rPr>
        <w:t>SCell</w:t>
      </w:r>
      <w:proofErr w:type="spellEnd"/>
      <w:r w:rsidR="002B343D">
        <w:rPr>
          <w:rFonts w:ascii="Times New Roman" w:eastAsia="맑은 고딕" w:hAnsi="Times New Roman"/>
          <w:sz w:val="22"/>
          <w:lang w:eastAsia="ko-KR"/>
        </w:rPr>
        <w:t xml:space="preserve"> and </w:t>
      </w:r>
      <w:r w:rsidR="007D492F">
        <w:rPr>
          <w:rFonts w:ascii="Times New Roman" w:eastAsia="맑은 고딕" w:hAnsi="Times New Roman"/>
          <w:sz w:val="22"/>
          <w:lang w:eastAsia="ko-KR"/>
        </w:rPr>
        <w:t>BWP handling</w:t>
      </w:r>
      <w:r w:rsidR="002B343D">
        <w:rPr>
          <w:rFonts w:ascii="Times New Roman" w:eastAsia="맑은 고딕" w:hAnsi="Times New Roman"/>
          <w:sz w:val="22"/>
          <w:lang w:eastAsia="ko-KR"/>
        </w:rPr>
        <w:t xml:space="preserve"> on the not serving MAC entity which is associated with the target DU</w:t>
      </w:r>
      <w:r w:rsidR="00E75E51">
        <w:rPr>
          <w:rFonts w:ascii="Times New Roman" w:eastAsia="맑은 고딕" w:hAnsi="Times New Roman"/>
          <w:sz w:val="22"/>
          <w:lang w:eastAsia="ko-KR"/>
        </w:rPr>
        <w:t xml:space="preserve"> should be carefully reviewed.</w:t>
      </w:r>
    </w:p>
    <w:p w14:paraId="52951B5B" w14:textId="43400CE7" w:rsidR="002F5008" w:rsidRDefault="002F5008" w:rsidP="00443EBF">
      <w:pPr>
        <w:jc w:val="left"/>
        <w:rPr>
          <w:rFonts w:ascii="Times New Roman" w:eastAsia="맑은 고딕" w:hAnsi="Times New Roman"/>
          <w:sz w:val="22"/>
          <w:lang w:eastAsia="ko-KR"/>
        </w:rPr>
      </w:pPr>
      <w:r>
        <w:rPr>
          <w:rFonts w:ascii="Times New Roman" w:eastAsia="맑은 고딕" w:hAnsi="Times New Roman"/>
          <w:b/>
          <w:sz w:val="22"/>
          <w:lang w:eastAsia="ko-KR"/>
        </w:rPr>
        <w:t>Observation 2. For inter-DU scenario, the option 2 and 3 may not be feasible</w:t>
      </w:r>
      <w:r w:rsidR="002B343D">
        <w:rPr>
          <w:rFonts w:ascii="Times New Roman" w:eastAsia="맑은 고딕" w:hAnsi="Times New Roman"/>
          <w:b/>
          <w:sz w:val="22"/>
          <w:lang w:eastAsia="ko-KR"/>
        </w:rPr>
        <w:t xml:space="preserve"> and the option 1 is needed, but user plain impact due to RA on the not serving MAC entity would be required</w:t>
      </w:r>
      <w:r>
        <w:rPr>
          <w:rFonts w:ascii="Times New Roman" w:eastAsia="맑은 고딕" w:hAnsi="Times New Roman"/>
          <w:b/>
          <w:sz w:val="22"/>
          <w:lang w:eastAsia="ko-KR"/>
        </w:rPr>
        <w:t>.</w:t>
      </w:r>
    </w:p>
    <w:p w14:paraId="7B1E6E01" w14:textId="77777777" w:rsidR="002F5008" w:rsidRDefault="002F5008" w:rsidP="00443EBF">
      <w:pPr>
        <w:jc w:val="left"/>
        <w:rPr>
          <w:rFonts w:ascii="Times New Roman" w:eastAsia="맑은 고딕" w:hAnsi="Times New Roman"/>
          <w:sz w:val="22"/>
          <w:lang w:eastAsia="ko-KR"/>
        </w:rPr>
      </w:pPr>
    </w:p>
    <w:p w14:paraId="20333656" w14:textId="694EEE10" w:rsidR="002B343D" w:rsidRPr="00E75E51" w:rsidRDefault="0098491C"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Of course, it would be the best to design the unified solution to cover both scenarios. However, considering the observation 1/2 and pros/cons above, we think that it is better to define a different solution for two scenarios, i.e., </w:t>
      </w:r>
      <w:r w:rsidR="002B343D">
        <w:rPr>
          <w:rFonts w:ascii="Times New Roman" w:eastAsia="맑은 고딕" w:hAnsi="Times New Roman"/>
          <w:sz w:val="22"/>
          <w:lang w:eastAsia="ko-KR"/>
        </w:rPr>
        <w:t>if RA procedure is not needed to obtain TA for candidate cell</w:t>
      </w:r>
      <w:r>
        <w:rPr>
          <w:rFonts w:ascii="Times New Roman" w:eastAsia="맑은 고딕" w:hAnsi="Times New Roman"/>
          <w:sz w:val="22"/>
          <w:lang w:eastAsia="ko-KR"/>
        </w:rPr>
        <w:t xml:space="preserve"> like intra-DU scenario</w:t>
      </w:r>
      <w:r w:rsidR="002B343D">
        <w:rPr>
          <w:rFonts w:ascii="Times New Roman" w:eastAsia="맑은 고딕" w:hAnsi="Times New Roman"/>
          <w:sz w:val="22"/>
          <w:lang w:eastAsia="ko-KR"/>
        </w:rPr>
        <w:t>, the option 2 or 3 should be selected, but if RA procedure is needed to obtain TA for candidate cell</w:t>
      </w:r>
      <w:r w:rsidRPr="0098491C">
        <w:rPr>
          <w:rFonts w:ascii="Times New Roman" w:eastAsia="맑은 고딕" w:hAnsi="Times New Roman"/>
          <w:sz w:val="22"/>
          <w:lang w:eastAsia="ko-KR"/>
        </w:rPr>
        <w:t xml:space="preserve"> </w:t>
      </w:r>
      <w:r>
        <w:rPr>
          <w:rFonts w:ascii="Times New Roman" w:eastAsia="맑은 고딕" w:hAnsi="Times New Roman"/>
          <w:sz w:val="22"/>
          <w:lang w:eastAsia="ko-KR"/>
        </w:rPr>
        <w:t>like inter-DU scenario</w:t>
      </w:r>
      <w:r w:rsidR="002B343D">
        <w:rPr>
          <w:rFonts w:ascii="Times New Roman" w:eastAsia="맑은 고딕" w:hAnsi="Times New Roman"/>
          <w:sz w:val="22"/>
          <w:lang w:eastAsia="ko-KR"/>
        </w:rPr>
        <w:t>, t</w:t>
      </w:r>
      <w:r>
        <w:rPr>
          <w:rFonts w:ascii="Times New Roman" w:eastAsia="맑은 고딕" w:hAnsi="Times New Roman"/>
          <w:sz w:val="22"/>
          <w:lang w:eastAsia="ko-KR"/>
        </w:rPr>
        <w:t>he option 1 should be selected.</w:t>
      </w:r>
      <w:r w:rsidR="00E75E51">
        <w:rPr>
          <w:rFonts w:ascii="Times New Roman" w:eastAsia="맑은 고딕" w:hAnsi="Times New Roman"/>
          <w:sz w:val="22"/>
          <w:lang w:eastAsia="ko-KR"/>
        </w:rPr>
        <w:t xml:space="preserve"> </w:t>
      </w:r>
    </w:p>
    <w:p w14:paraId="0C70B8E8" w14:textId="21A2387D"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t>Proposal 1. For intra-DU scenario, RAN2 considers the following options for the UE to obtain the TA for the candidate cell.</w:t>
      </w:r>
    </w:p>
    <w:p w14:paraId="2CA52514" w14:textId="77777777" w:rsidR="00E75E51" w:rsidRDefault="00E75E51" w:rsidP="00E75E51">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Candidate cell information also includes TA information for each candidate cell. The UE applies a received TA for each candidate cell.</w:t>
      </w:r>
    </w:p>
    <w:p w14:paraId="568C30A1" w14:textId="77777777" w:rsidR="00E75E51" w:rsidRDefault="00E75E51" w:rsidP="00E75E51">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14:paraId="730E457A" w14:textId="2F2C759B" w:rsidR="00751C6E" w:rsidRDefault="00751C6E"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w:t>
      </w:r>
      <w:r w:rsidR="00E75E51">
        <w:rPr>
          <w:rFonts w:ascii="Times New Roman" w:eastAsia="맑은 고딕" w:hAnsi="Times New Roman"/>
          <w:b/>
          <w:sz w:val="22"/>
          <w:lang w:eastAsia="ko-KR"/>
        </w:rPr>
        <w:t xml:space="preserve">For inter-DU scenario, </w:t>
      </w:r>
      <w:r>
        <w:rPr>
          <w:rFonts w:ascii="Times New Roman" w:eastAsia="맑은 고딕" w:hAnsi="Times New Roman"/>
          <w:b/>
          <w:sz w:val="22"/>
          <w:lang w:eastAsia="ko-KR"/>
        </w:rPr>
        <w:t>RAN2 considers the following options for the UE to obtain the TA for the candidate cell.</w:t>
      </w:r>
    </w:p>
    <w:p w14:paraId="058C48D1" w14:textId="77777777" w:rsidR="00751C6E" w:rsidRDefault="00751C6E" w:rsidP="00751C6E">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1. After candidate cell information is received, the UE performs a RA procedure to each candidate cell. When the UE receives the candidate cell information, the UE triggers a RA procedure on each candidate cell to obtain the TA</w:t>
      </w:r>
    </w:p>
    <w:p w14:paraId="4E53DE4D" w14:textId="77777777" w:rsidR="00751C6E" w:rsidRPr="00751C6E" w:rsidRDefault="00751C6E"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6BB817F" w14:textId="77777777"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For intra-DU scenario, the option 1 may not be needed and the option 2 and 3 would be sufficient.</w:t>
      </w:r>
    </w:p>
    <w:p w14:paraId="242656D2" w14:textId="77777777" w:rsidR="00E75E51" w:rsidRDefault="00E75E51" w:rsidP="00E75E51">
      <w:pPr>
        <w:jc w:val="left"/>
        <w:rPr>
          <w:rFonts w:ascii="Times New Roman" w:eastAsia="맑은 고딕" w:hAnsi="Times New Roman"/>
          <w:sz w:val="22"/>
          <w:lang w:eastAsia="ko-KR"/>
        </w:rPr>
      </w:pPr>
      <w:r>
        <w:rPr>
          <w:rFonts w:ascii="Times New Roman" w:eastAsia="맑은 고딕" w:hAnsi="Times New Roman"/>
          <w:b/>
          <w:sz w:val="22"/>
          <w:lang w:eastAsia="ko-KR"/>
        </w:rPr>
        <w:t>Observation 2. For inter-DU scenario, the option 2 and 3 may not be feasible and the option 1 is needed, but user plain impact due to RA on the not serving MAC entity would be required.</w:t>
      </w:r>
    </w:p>
    <w:p w14:paraId="22A9E736" w14:textId="77777777" w:rsidR="004163EF" w:rsidRPr="00E75E51" w:rsidRDefault="004163EF" w:rsidP="008C10C3">
      <w:pPr>
        <w:jc w:val="left"/>
        <w:rPr>
          <w:rFonts w:ascii="Times New Roman" w:eastAsia="맑은 고딕" w:hAnsi="Times New Roman"/>
          <w:sz w:val="22"/>
          <w:szCs w:val="22"/>
          <w:lang w:eastAsia="ko-KR"/>
        </w:rPr>
      </w:pPr>
    </w:p>
    <w:p w14:paraId="0DF1808C" w14:textId="77777777"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t>Proposal 1. For intra-DU scenario, RAN2 considers the following options for the UE to obtain the TA for the candidate cell.</w:t>
      </w:r>
    </w:p>
    <w:p w14:paraId="04DD3F46" w14:textId="77777777" w:rsidR="00E75E51" w:rsidRDefault="00E75E51" w:rsidP="00E75E51">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Candidate cell information also includes TA information for each candidate cell. The UE applies a received TA for each candidate cell.</w:t>
      </w:r>
    </w:p>
    <w:p w14:paraId="36D10DB0" w14:textId="77777777" w:rsidR="00E75E51" w:rsidRDefault="00E75E51" w:rsidP="00E75E51">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14:paraId="0D06E7B1" w14:textId="77777777"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t>Proposal 2. For inter-DU scenario, RAN2 considers the following options for the UE to obtain the TA for the candidate cell.</w:t>
      </w:r>
    </w:p>
    <w:p w14:paraId="5CF3211B" w14:textId="77777777" w:rsidR="00E75E51" w:rsidRDefault="00E75E51" w:rsidP="00E75E51">
      <w:pPr>
        <w:pStyle w:val="a5"/>
        <w:numPr>
          <w:ilvl w:val="0"/>
          <w:numId w:val="31"/>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1. After candidate cell information is received, the UE performs a RA procedure to each candidate cell. When the UE receives the candidate cell information, the UE triggers a RA procedure on each candidate cell to obtain the TA</w:t>
      </w:r>
    </w:p>
    <w:p w14:paraId="30D86E91" w14:textId="77777777" w:rsidR="004163EF" w:rsidRPr="004163EF" w:rsidRDefault="004163EF" w:rsidP="004163EF">
      <w:pPr>
        <w:rPr>
          <w:rFonts w:ascii="Times New Roman" w:eastAsia="맑은 고딕" w:hAnsi="Times New Roman"/>
          <w:sz w:val="22"/>
          <w:szCs w:val="22"/>
          <w:lang w:eastAsia="ko-KR"/>
        </w:rPr>
      </w:pPr>
    </w:p>
    <w:sectPr w:rsidR="004163EF" w:rsidRPr="004163E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2502D" w14:textId="77777777" w:rsidR="00254E3C" w:rsidRDefault="00254E3C">
      <w:pPr>
        <w:spacing w:after="0"/>
      </w:pPr>
      <w:r>
        <w:separator/>
      </w:r>
    </w:p>
  </w:endnote>
  <w:endnote w:type="continuationSeparator" w:id="0">
    <w:p w14:paraId="625CADF4" w14:textId="77777777" w:rsidR="00254E3C" w:rsidRDefault="00254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CF11B" w14:textId="77777777" w:rsidR="00254E3C" w:rsidRDefault="00254E3C">
      <w:pPr>
        <w:spacing w:after="0"/>
      </w:pPr>
      <w:r>
        <w:separator/>
      </w:r>
    </w:p>
  </w:footnote>
  <w:footnote w:type="continuationSeparator" w:id="0">
    <w:p w14:paraId="44D7D45D" w14:textId="77777777" w:rsidR="00254E3C" w:rsidRDefault="00254E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4"/>
  </w:num>
  <w:num w:numId="3">
    <w:abstractNumId w:val="1"/>
  </w:num>
  <w:num w:numId="4">
    <w:abstractNumId w:val="18"/>
  </w:num>
  <w:num w:numId="5">
    <w:abstractNumId w:val="20"/>
  </w:num>
  <w:num w:numId="6">
    <w:abstractNumId w:val="8"/>
  </w:num>
  <w:num w:numId="7">
    <w:abstractNumId w:val="16"/>
  </w:num>
  <w:num w:numId="8">
    <w:abstractNumId w:val="12"/>
  </w:num>
  <w:num w:numId="9">
    <w:abstractNumId w:val="19"/>
  </w:num>
  <w:num w:numId="10">
    <w:abstractNumId w:val="2"/>
  </w:num>
  <w:num w:numId="11">
    <w:abstractNumId w:val="3"/>
  </w:num>
  <w:num w:numId="12">
    <w:abstractNumId w:val="19"/>
  </w:num>
  <w:num w:numId="13">
    <w:abstractNumId w:val="6"/>
  </w:num>
  <w:num w:numId="14">
    <w:abstractNumId w:val="15"/>
  </w:num>
  <w:num w:numId="15">
    <w:abstractNumId w:val="22"/>
  </w:num>
  <w:num w:numId="16">
    <w:abstractNumId w:val="11"/>
  </w:num>
  <w:num w:numId="17">
    <w:abstractNumId w:val="9"/>
  </w:num>
  <w:num w:numId="18">
    <w:abstractNumId w:val="5"/>
  </w:num>
  <w:num w:numId="19">
    <w:abstractNumId w:val="23"/>
  </w:num>
  <w:num w:numId="20">
    <w:abstractNumId w:val="4"/>
  </w:num>
  <w:num w:numId="21">
    <w:abstractNumId w:val="19"/>
  </w:num>
  <w:num w:numId="22">
    <w:abstractNumId w:val="10"/>
  </w:num>
  <w:num w:numId="23">
    <w:abstractNumId w:val="19"/>
  </w:num>
  <w:num w:numId="24">
    <w:abstractNumId w:val="19"/>
  </w:num>
  <w:num w:numId="25">
    <w:abstractNumId w:val="13"/>
  </w:num>
  <w:num w:numId="26">
    <w:abstractNumId w:val="17"/>
  </w:num>
  <w:num w:numId="27">
    <w:abstractNumId w:val="19"/>
  </w:num>
  <w:num w:numId="28">
    <w:abstractNumId w:val="19"/>
  </w:num>
  <w:num w:numId="29">
    <w:abstractNumId w:val="7"/>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162CB"/>
    <w:rsid w:val="00020153"/>
    <w:rsid w:val="000213E7"/>
    <w:rsid w:val="00022BF0"/>
    <w:rsid w:val="000232B4"/>
    <w:rsid w:val="00027A6C"/>
    <w:rsid w:val="00030040"/>
    <w:rsid w:val="00030139"/>
    <w:rsid w:val="000305E0"/>
    <w:rsid w:val="0003259C"/>
    <w:rsid w:val="00036AE0"/>
    <w:rsid w:val="00036ED9"/>
    <w:rsid w:val="00040B9D"/>
    <w:rsid w:val="00041D65"/>
    <w:rsid w:val="000458CC"/>
    <w:rsid w:val="00046146"/>
    <w:rsid w:val="0004747C"/>
    <w:rsid w:val="00047728"/>
    <w:rsid w:val="00050DDD"/>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61D6"/>
    <w:rsid w:val="000A1C00"/>
    <w:rsid w:val="000A33D9"/>
    <w:rsid w:val="000A76F3"/>
    <w:rsid w:val="000B0A60"/>
    <w:rsid w:val="000B3501"/>
    <w:rsid w:val="000B3630"/>
    <w:rsid w:val="000B37DB"/>
    <w:rsid w:val="000C1F1E"/>
    <w:rsid w:val="000C4062"/>
    <w:rsid w:val="000C68CC"/>
    <w:rsid w:val="000D26E0"/>
    <w:rsid w:val="000D4F56"/>
    <w:rsid w:val="000D7090"/>
    <w:rsid w:val="000E176A"/>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31008"/>
    <w:rsid w:val="00131637"/>
    <w:rsid w:val="00131CFB"/>
    <w:rsid w:val="001344E5"/>
    <w:rsid w:val="00134879"/>
    <w:rsid w:val="00135E74"/>
    <w:rsid w:val="00137507"/>
    <w:rsid w:val="00142815"/>
    <w:rsid w:val="00147E50"/>
    <w:rsid w:val="00150896"/>
    <w:rsid w:val="0015127E"/>
    <w:rsid w:val="0015710C"/>
    <w:rsid w:val="00157B8F"/>
    <w:rsid w:val="0016260E"/>
    <w:rsid w:val="001667B9"/>
    <w:rsid w:val="001714C3"/>
    <w:rsid w:val="00176668"/>
    <w:rsid w:val="00176E67"/>
    <w:rsid w:val="00177F44"/>
    <w:rsid w:val="00190088"/>
    <w:rsid w:val="00191406"/>
    <w:rsid w:val="00191C66"/>
    <w:rsid w:val="001928D1"/>
    <w:rsid w:val="001929B7"/>
    <w:rsid w:val="001A0B69"/>
    <w:rsid w:val="001A2D71"/>
    <w:rsid w:val="001A4C1E"/>
    <w:rsid w:val="001B35EB"/>
    <w:rsid w:val="001B3D5D"/>
    <w:rsid w:val="001B5636"/>
    <w:rsid w:val="001C2F80"/>
    <w:rsid w:val="001C5A57"/>
    <w:rsid w:val="001C5B25"/>
    <w:rsid w:val="001C6C23"/>
    <w:rsid w:val="001C7297"/>
    <w:rsid w:val="001C730A"/>
    <w:rsid w:val="001D0DAD"/>
    <w:rsid w:val="001D161E"/>
    <w:rsid w:val="001D3896"/>
    <w:rsid w:val="001D7539"/>
    <w:rsid w:val="001E255A"/>
    <w:rsid w:val="001E29B4"/>
    <w:rsid w:val="001E6FE6"/>
    <w:rsid w:val="001F0D4E"/>
    <w:rsid w:val="001F42D3"/>
    <w:rsid w:val="001F64E0"/>
    <w:rsid w:val="001F78DC"/>
    <w:rsid w:val="00202051"/>
    <w:rsid w:val="00203D28"/>
    <w:rsid w:val="002109FF"/>
    <w:rsid w:val="00213AE8"/>
    <w:rsid w:val="00213EE1"/>
    <w:rsid w:val="00214364"/>
    <w:rsid w:val="002172F0"/>
    <w:rsid w:val="0022201B"/>
    <w:rsid w:val="00224C3D"/>
    <w:rsid w:val="002254F8"/>
    <w:rsid w:val="00232474"/>
    <w:rsid w:val="00234BED"/>
    <w:rsid w:val="002350E5"/>
    <w:rsid w:val="0023755B"/>
    <w:rsid w:val="002404D6"/>
    <w:rsid w:val="002415EC"/>
    <w:rsid w:val="00243D04"/>
    <w:rsid w:val="00246E13"/>
    <w:rsid w:val="00250805"/>
    <w:rsid w:val="0025422F"/>
    <w:rsid w:val="00254E3C"/>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2590"/>
    <w:rsid w:val="00332EEB"/>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C22"/>
    <w:rsid w:val="0038564B"/>
    <w:rsid w:val="0039141E"/>
    <w:rsid w:val="0039297C"/>
    <w:rsid w:val="00393C75"/>
    <w:rsid w:val="0039541A"/>
    <w:rsid w:val="003A0353"/>
    <w:rsid w:val="003A0DB1"/>
    <w:rsid w:val="003A7E57"/>
    <w:rsid w:val="003B3820"/>
    <w:rsid w:val="003B7475"/>
    <w:rsid w:val="003B7793"/>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C8E"/>
    <w:rsid w:val="005463D1"/>
    <w:rsid w:val="005504EC"/>
    <w:rsid w:val="00552157"/>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3746"/>
    <w:rsid w:val="00596E86"/>
    <w:rsid w:val="005A0A6C"/>
    <w:rsid w:val="005A2165"/>
    <w:rsid w:val="005A55B2"/>
    <w:rsid w:val="005A58A9"/>
    <w:rsid w:val="005B4465"/>
    <w:rsid w:val="005B6372"/>
    <w:rsid w:val="005B7B6C"/>
    <w:rsid w:val="005C1FA4"/>
    <w:rsid w:val="005C2CC9"/>
    <w:rsid w:val="005C4497"/>
    <w:rsid w:val="005C759C"/>
    <w:rsid w:val="005D30AA"/>
    <w:rsid w:val="005D3331"/>
    <w:rsid w:val="005D3ACC"/>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4156"/>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1C6E"/>
    <w:rsid w:val="0075623C"/>
    <w:rsid w:val="00756A3A"/>
    <w:rsid w:val="00760172"/>
    <w:rsid w:val="0076107E"/>
    <w:rsid w:val="00763091"/>
    <w:rsid w:val="0076320F"/>
    <w:rsid w:val="007640FC"/>
    <w:rsid w:val="00765C4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1365"/>
    <w:rsid w:val="007B1BA5"/>
    <w:rsid w:val="007B50C9"/>
    <w:rsid w:val="007B7B4C"/>
    <w:rsid w:val="007C0F88"/>
    <w:rsid w:val="007C521F"/>
    <w:rsid w:val="007D492F"/>
    <w:rsid w:val="007D4E57"/>
    <w:rsid w:val="007E05EB"/>
    <w:rsid w:val="007E0988"/>
    <w:rsid w:val="007E6683"/>
    <w:rsid w:val="007F0C3B"/>
    <w:rsid w:val="007F14A4"/>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528E"/>
    <w:rsid w:val="0083440F"/>
    <w:rsid w:val="0084020A"/>
    <w:rsid w:val="00842395"/>
    <w:rsid w:val="00845CC2"/>
    <w:rsid w:val="008461BE"/>
    <w:rsid w:val="008502D9"/>
    <w:rsid w:val="00850514"/>
    <w:rsid w:val="008517CB"/>
    <w:rsid w:val="008536A1"/>
    <w:rsid w:val="008536FF"/>
    <w:rsid w:val="008540B9"/>
    <w:rsid w:val="0085555C"/>
    <w:rsid w:val="00857E55"/>
    <w:rsid w:val="00861158"/>
    <w:rsid w:val="00866FB6"/>
    <w:rsid w:val="008701DF"/>
    <w:rsid w:val="00873A44"/>
    <w:rsid w:val="00883FC2"/>
    <w:rsid w:val="00886F9C"/>
    <w:rsid w:val="00892DD0"/>
    <w:rsid w:val="00893162"/>
    <w:rsid w:val="00893942"/>
    <w:rsid w:val="008A26E3"/>
    <w:rsid w:val="008A4ACD"/>
    <w:rsid w:val="008B028C"/>
    <w:rsid w:val="008B1DD7"/>
    <w:rsid w:val="008B20C0"/>
    <w:rsid w:val="008B45BC"/>
    <w:rsid w:val="008B53B0"/>
    <w:rsid w:val="008B582E"/>
    <w:rsid w:val="008C0536"/>
    <w:rsid w:val="008C10C3"/>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2BD4"/>
    <w:rsid w:val="009277BC"/>
    <w:rsid w:val="00932819"/>
    <w:rsid w:val="00933D3D"/>
    <w:rsid w:val="00934835"/>
    <w:rsid w:val="00934B48"/>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70C3"/>
    <w:rsid w:val="00A27803"/>
    <w:rsid w:val="00A30183"/>
    <w:rsid w:val="00A329FE"/>
    <w:rsid w:val="00A330E5"/>
    <w:rsid w:val="00A37C25"/>
    <w:rsid w:val="00A42750"/>
    <w:rsid w:val="00A4380E"/>
    <w:rsid w:val="00A50D07"/>
    <w:rsid w:val="00A51B0B"/>
    <w:rsid w:val="00A52508"/>
    <w:rsid w:val="00A57CBE"/>
    <w:rsid w:val="00A60225"/>
    <w:rsid w:val="00A60397"/>
    <w:rsid w:val="00A67ACE"/>
    <w:rsid w:val="00A7477D"/>
    <w:rsid w:val="00A752D4"/>
    <w:rsid w:val="00A758D7"/>
    <w:rsid w:val="00A80278"/>
    <w:rsid w:val="00A80282"/>
    <w:rsid w:val="00A802AD"/>
    <w:rsid w:val="00A83C71"/>
    <w:rsid w:val="00A8473B"/>
    <w:rsid w:val="00A84A49"/>
    <w:rsid w:val="00A8666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5286"/>
    <w:rsid w:val="00B9633F"/>
    <w:rsid w:val="00BA6A77"/>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5772"/>
    <w:rsid w:val="00C80322"/>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0AC3"/>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616FB"/>
    <w:rsid w:val="00E62730"/>
    <w:rsid w:val="00E65C71"/>
    <w:rsid w:val="00E65F23"/>
    <w:rsid w:val="00E70932"/>
    <w:rsid w:val="00E70CE8"/>
    <w:rsid w:val="00E72715"/>
    <w:rsid w:val="00E733F1"/>
    <w:rsid w:val="00E75E51"/>
    <w:rsid w:val="00E76930"/>
    <w:rsid w:val="00E800E1"/>
    <w:rsid w:val="00E80597"/>
    <w:rsid w:val="00E847E8"/>
    <w:rsid w:val="00E8577F"/>
    <w:rsid w:val="00E863F5"/>
    <w:rsid w:val="00E901B2"/>
    <w:rsid w:val="00E911BA"/>
    <w:rsid w:val="00E9148F"/>
    <w:rsid w:val="00E91AD1"/>
    <w:rsid w:val="00E92289"/>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602E9"/>
    <w:rsid w:val="00F60A39"/>
    <w:rsid w:val="00F62323"/>
    <w:rsid w:val="00F64225"/>
    <w:rsid w:val="00F64406"/>
    <w:rsid w:val="00F65E4E"/>
    <w:rsid w:val="00F7382F"/>
    <w:rsid w:val="00F74151"/>
    <w:rsid w:val="00F80B65"/>
    <w:rsid w:val="00F810A4"/>
    <w:rsid w:val="00F86E69"/>
    <w:rsid w:val="00F87B45"/>
    <w:rsid w:val="00F91505"/>
    <w:rsid w:val="00F922F2"/>
    <w:rsid w:val="00F927A3"/>
    <w:rsid w:val="00F93759"/>
    <w:rsid w:val="00F93AA1"/>
    <w:rsid w:val="00FA5282"/>
    <w:rsid w:val="00FA64FB"/>
    <w:rsid w:val="00FB0FF8"/>
    <w:rsid w:val="00FB2A87"/>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1642</TotalTime>
  <Pages>3</Pages>
  <Words>1085</Words>
  <Characters>6188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11</cp:revision>
  <dcterms:created xsi:type="dcterms:W3CDTF">2022-04-21T03:18:00Z</dcterms:created>
  <dcterms:modified xsi:type="dcterms:W3CDTF">2022-09-30T05:51:00Z</dcterms:modified>
</cp:coreProperties>
</file>